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71125D5">
      <w:pPr>
        <w:jc w:val="center"/>
        <w:rPr>
          <w:rFonts w:hint="eastAsia" w:ascii="方正小标宋简体" w:eastAsia="方正小标宋简体"/>
          <w:sz w:val="32"/>
          <w:szCs w:val="32"/>
        </w:rPr>
      </w:pPr>
      <w:r>
        <w:rPr>
          <w:rFonts w:hint="eastAsia" w:ascii="方正小标宋简体" w:eastAsia="方正小标宋简体" w:cs="黑体"/>
          <w:kern w:val="0"/>
          <w:sz w:val="32"/>
          <w:szCs w:val="32"/>
          <w:lang w:eastAsia="zh-CN"/>
        </w:rPr>
        <w:t>“</w:t>
      </w:r>
      <w:r>
        <w:rPr>
          <w:rFonts w:hint="eastAsia" w:ascii="方正小标宋简体" w:eastAsia="方正小标宋简体" w:cs="黑体"/>
          <w:kern w:val="0"/>
          <w:sz w:val="32"/>
          <w:szCs w:val="32"/>
          <w:lang w:val="en-US" w:eastAsia="zh-CN"/>
        </w:rPr>
        <w:t>地表水中氨氮、磷酸盐、硝酸盐和有机物（紫外法）的微流控监测技术</w:t>
      </w:r>
      <w:r>
        <w:rPr>
          <w:rFonts w:hint="eastAsia" w:ascii="方正小标宋简体" w:eastAsia="方正小标宋简体" w:cs="黑体"/>
          <w:kern w:val="0"/>
          <w:sz w:val="32"/>
          <w:szCs w:val="32"/>
        </w:rPr>
        <w:t>”检测报告</w:t>
      </w:r>
    </w:p>
    <w:p w14:paraId="021983B4"/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8"/>
        <w:gridCol w:w="2835"/>
        <w:gridCol w:w="4110"/>
        <w:gridCol w:w="2268"/>
        <w:gridCol w:w="2127"/>
        <w:gridCol w:w="1620"/>
      </w:tblGrid>
      <w:tr w14:paraId="088E2E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5" w:hRule="atLeast"/>
        </w:trPr>
        <w:tc>
          <w:tcPr>
            <w:tcW w:w="988" w:type="dxa"/>
            <w:vAlign w:val="center"/>
          </w:tcPr>
          <w:p w14:paraId="7268DA36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2835" w:type="dxa"/>
            <w:vAlign w:val="center"/>
          </w:tcPr>
          <w:p w14:paraId="2CFAC9BD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样品名称</w:t>
            </w:r>
          </w:p>
        </w:tc>
        <w:tc>
          <w:tcPr>
            <w:tcW w:w="4110" w:type="dxa"/>
            <w:vAlign w:val="center"/>
          </w:tcPr>
          <w:p w14:paraId="06EAE695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检测项目</w:t>
            </w:r>
          </w:p>
        </w:tc>
        <w:tc>
          <w:tcPr>
            <w:tcW w:w="2268" w:type="dxa"/>
            <w:vAlign w:val="center"/>
          </w:tcPr>
          <w:p w14:paraId="3FAD5765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送检单位</w:t>
            </w:r>
          </w:p>
        </w:tc>
        <w:tc>
          <w:tcPr>
            <w:tcW w:w="2127" w:type="dxa"/>
            <w:vAlign w:val="center"/>
          </w:tcPr>
          <w:p w14:paraId="24AD4A6E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检测机构</w:t>
            </w:r>
          </w:p>
        </w:tc>
        <w:tc>
          <w:tcPr>
            <w:tcW w:w="1620" w:type="dxa"/>
            <w:vAlign w:val="center"/>
          </w:tcPr>
          <w:p w14:paraId="4BFD6752">
            <w:pPr>
              <w:jc w:val="center"/>
              <w:rPr>
                <w:rFonts w:ascii="仿宋_GB2312" w:eastAsia="仿宋_GB2312"/>
                <w:b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/>
                <w:bCs/>
                <w:sz w:val="24"/>
                <w:szCs w:val="24"/>
              </w:rPr>
              <w:t>报告日期</w:t>
            </w:r>
          </w:p>
        </w:tc>
      </w:tr>
      <w:tr w14:paraId="0D6348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3" w:hRule="atLeast"/>
        </w:trPr>
        <w:tc>
          <w:tcPr>
            <w:tcW w:w="988" w:type="dxa"/>
            <w:vAlign w:val="center"/>
          </w:tcPr>
          <w:p w14:paraId="0297A5ED">
            <w:pPr>
              <w:jc w:val="center"/>
              <w:rPr>
                <w:rFonts w:hint="eastAsia" w:ascii="仿宋_GB2312" w:hAnsi="Times New Roman" w:eastAsia="仿宋_GB2312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1</w:t>
            </w:r>
          </w:p>
        </w:tc>
        <w:tc>
          <w:tcPr>
            <w:tcW w:w="2835" w:type="dxa"/>
            <w:vAlign w:val="center"/>
          </w:tcPr>
          <w:p w14:paraId="6C1E34F6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微流控氨氮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-ISE在线自动监测仪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微流控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硝酸盐氮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在线自动监测仪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微流控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磷酸盐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在线自动监测仪、微流控紫外法有机物自动监测仪</w:t>
            </w:r>
          </w:p>
        </w:tc>
        <w:tc>
          <w:tcPr>
            <w:tcW w:w="4110" w:type="dxa"/>
            <w:vAlign w:val="center"/>
          </w:tcPr>
          <w:p w14:paraId="214C39EE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外观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装配质量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系统功能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通讯功能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示值误差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定量下限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重复性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24h低浓度漂移、24h高浓度漂移、零点漂移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、电压稳定性、低温试验、高温试验、恒定湿热试验</w:t>
            </w:r>
            <w:bookmarkStart w:id="0" w:name="_GoBack"/>
            <w:bookmarkEnd w:id="0"/>
          </w:p>
        </w:tc>
        <w:tc>
          <w:tcPr>
            <w:tcW w:w="2268" w:type="dxa"/>
            <w:vAlign w:val="center"/>
          </w:tcPr>
          <w:p w14:paraId="411C32E9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上海柏中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观澈智能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科技有限公司</w:t>
            </w:r>
          </w:p>
        </w:tc>
        <w:tc>
          <w:tcPr>
            <w:tcW w:w="2127" w:type="dxa"/>
            <w:vAlign w:val="center"/>
          </w:tcPr>
          <w:p w14:paraId="7F0809C5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河北省计量产品质量监督检验中心</w:t>
            </w:r>
          </w:p>
        </w:tc>
        <w:tc>
          <w:tcPr>
            <w:tcW w:w="1620" w:type="dxa"/>
            <w:vAlign w:val="center"/>
          </w:tcPr>
          <w:p w14:paraId="174A3CA0">
            <w:pPr>
              <w:rPr>
                <w:rFonts w:hint="eastAsia" w:ascii="仿宋_GB2312" w:hAnsi="Times New Roman" w:eastAsia="仿宋_GB2312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2021年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 w:ascii="仿宋_GB2312" w:hAnsi="Times New Roman" w:eastAsia="仿宋_GB2312"/>
                <w:sz w:val="24"/>
                <w:szCs w:val="24"/>
              </w:rPr>
              <w:t xml:space="preserve">月 </w:t>
            </w:r>
          </w:p>
        </w:tc>
      </w:tr>
      <w:tr w14:paraId="352584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6" w:hRule="atLeast"/>
        </w:trPr>
        <w:tc>
          <w:tcPr>
            <w:tcW w:w="988" w:type="dxa"/>
            <w:vAlign w:val="center"/>
          </w:tcPr>
          <w:p w14:paraId="46EC394B">
            <w:pPr>
              <w:jc w:val="center"/>
              <w:rPr>
                <w:rFonts w:hint="eastAsia" w:ascii="仿宋_GB2312" w:hAnsi="Times New Roman" w:eastAsia="仿宋_GB2312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2</w:t>
            </w:r>
          </w:p>
        </w:tc>
        <w:tc>
          <w:tcPr>
            <w:tcW w:w="2835" w:type="dxa"/>
            <w:vAlign w:val="center"/>
          </w:tcPr>
          <w:p w14:paraId="7F7D45BF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地表水样</w:t>
            </w:r>
          </w:p>
        </w:tc>
        <w:tc>
          <w:tcPr>
            <w:tcW w:w="4110" w:type="dxa"/>
            <w:vAlign w:val="center"/>
          </w:tcPr>
          <w:p w14:paraId="46CF236E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芯片实验室模块（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磷酸盐、氨氮、硝酸盐、有机物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 xml:space="preserve"> ）比对测试</w:t>
            </w:r>
          </w:p>
        </w:tc>
        <w:tc>
          <w:tcPr>
            <w:tcW w:w="2268" w:type="dxa"/>
            <w:vAlign w:val="center"/>
          </w:tcPr>
          <w:p w14:paraId="5101F4F0">
            <w:pP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上海柏中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观澈智能</w:t>
            </w: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科技有限公司</w:t>
            </w:r>
          </w:p>
        </w:tc>
        <w:tc>
          <w:tcPr>
            <w:tcW w:w="2127" w:type="dxa"/>
            <w:vAlign w:val="center"/>
          </w:tcPr>
          <w:p w14:paraId="428FC16E">
            <w:pP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default" w:ascii="仿宋_GB2312" w:hAnsi="Times New Roman" w:eastAsia="仿宋_GB2312"/>
                <w:sz w:val="24"/>
                <w:szCs w:val="24"/>
                <w:lang w:val="en-US" w:eastAsia="zh-CN"/>
              </w:rPr>
              <w:t>中国环境监测总站</w:t>
            </w:r>
          </w:p>
        </w:tc>
        <w:tc>
          <w:tcPr>
            <w:tcW w:w="1620" w:type="dxa"/>
            <w:vAlign w:val="center"/>
          </w:tcPr>
          <w:p w14:paraId="14B26DA7">
            <w:pPr>
              <w:rPr>
                <w:rFonts w:hint="eastAsia" w:ascii="仿宋_GB2312" w:hAnsi="Times New Roman" w:eastAsia="仿宋_GB2312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20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21</w:t>
            </w: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年1</w:t>
            </w: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2</w:t>
            </w:r>
            <w:r>
              <w:rPr>
                <w:rFonts w:hint="eastAsia" w:ascii="仿宋_GB2312" w:hAnsi="Times New Roman" w:eastAsia="仿宋_GB2312"/>
                <w:sz w:val="24"/>
                <w:szCs w:val="24"/>
              </w:rPr>
              <w:t>月</w:t>
            </w:r>
          </w:p>
        </w:tc>
      </w:tr>
    </w:tbl>
    <w:p w14:paraId="707AE25B">
      <w:p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 w14:paraId="09F1B9FE"/>
    <w:p w14:paraId="0099D1B1">
      <w:pPr>
        <w:widowControl/>
        <w:jc w:val="left"/>
      </w:pPr>
    </w:p>
    <w:p w14:paraId="651A5D5D">
      <w:r>
        <w:drawing>
          <wp:inline distT="0" distB="0" distL="114300" distR="114300">
            <wp:extent cx="5264150" cy="8257540"/>
            <wp:effectExtent l="0" t="0" r="2540" b="1397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25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47585"/>
            <wp:effectExtent l="0" t="0" r="10795" b="1587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4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7296785"/>
            <wp:effectExtent l="0" t="0" r="8255" b="635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29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9705" cy="7468235"/>
            <wp:effectExtent l="0" t="0" r="6985" b="1079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6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3131D"/>
    <w:p w14:paraId="19D72B16">
      <w:r>
        <w:drawing>
          <wp:inline distT="0" distB="0" distL="114300" distR="114300">
            <wp:extent cx="5254625" cy="7600315"/>
            <wp:effectExtent l="0" t="0" r="12065" b="10795"/>
            <wp:docPr id="1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760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8460740"/>
            <wp:effectExtent l="0" t="0" r="12700" b="8890"/>
            <wp:docPr id="1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46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975" cy="8255000"/>
            <wp:effectExtent l="0" t="0" r="5715" b="0"/>
            <wp:docPr id="1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9545" cy="8401050"/>
            <wp:effectExtent l="0" t="0" r="635" b="2540"/>
            <wp:docPr id="2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954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E9481"/>
    <w:p w14:paraId="457E4DCD">
      <w:pPr>
        <w:jc w:val="left"/>
      </w:pPr>
      <w:r>
        <w:drawing>
          <wp:inline distT="0" distB="0" distL="114300" distR="114300">
            <wp:extent cx="5254625" cy="8119745"/>
            <wp:effectExtent l="0" t="0" r="12065" b="3175"/>
            <wp:docPr id="2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811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2720" cy="8222615"/>
            <wp:effectExtent l="0" t="0" r="13970" b="15875"/>
            <wp:docPr id="2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822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0180" cy="8152130"/>
            <wp:effectExtent l="0" t="0" r="0" b="3810"/>
            <wp:docPr id="2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815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8185785"/>
            <wp:effectExtent l="0" t="0" r="8890" b="3175"/>
            <wp:docPr id="2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818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FF01F"/>
    <w:p w14:paraId="0349AE2D"/>
    <w:p w14:paraId="2DE785D0"/>
    <w:p w14:paraId="7C309F5B"/>
    <w:p w14:paraId="50297EFA"/>
    <w:p w14:paraId="56EEC6E5">
      <w:r>
        <w:drawing>
          <wp:inline distT="0" distB="0" distL="114300" distR="114300">
            <wp:extent cx="4530725" cy="6708140"/>
            <wp:effectExtent l="0" t="0" r="9525" b="1143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30725" cy="670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E7582"/>
    <w:p w14:paraId="7CFAEC20"/>
    <w:p w14:paraId="71FA891A"/>
    <w:p w14:paraId="5085EC42"/>
    <w:p w14:paraId="0B9BF027"/>
    <w:p w14:paraId="7CCFA19C"/>
    <w:p w14:paraId="678911F2"/>
    <w:p w14:paraId="06F89CD1"/>
    <w:p w14:paraId="64C48CD7"/>
    <w:p w14:paraId="764E56A4">
      <w:r>
        <w:drawing>
          <wp:inline distT="0" distB="0" distL="114300" distR="114300">
            <wp:extent cx="4730115" cy="6650355"/>
            <wp:effectExtent l="0" t="0" r="8255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30115" cy="665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121F6"/>
    <w:p w14:paraId="756EBDD7"/>
    <w:p w14:paraId="1F85B0FE"/>
    <w:p w14:paraId="57027FA8"/>
    <w:p w14:paraId="51EBCDDD"/>
    <w:p w14:paraId="4A2AD17A"/>
    <w:p w14:paraId="798EB6A7"/>
    <w:p w14:paraId="5736CD87"/>
    <w:p w14:paraId="792B24F4"/>
    <w:p w14:paraId="30628437"/>
    <w:p w14:paraId="738A7A03"/>
    <w:p w14:paraId="423F0BBB">
      <w:r>
        <w:drawing>
          <wp:inline distT="0" distB="0" distL="114300" distR="114300">
            <wp:extent cx="4655185" cy="6608445"/>
            <wp:effectExtent l="0" t="0" r="635" b="1206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55185" cy="660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16949"/>
    <w:p w14:paraId="631E5CA4"/>
    <w:p w14:paraId="2827917E"/>
    <w:p w14:paraId="03A8D00C">
      <w:r>
        <w:drawing>
          <wp:inline distT="0" distB="0" distL="114300" distR="114300">
            <wp:extent cx="4763135" cy="6583680"/>
            <wp:effectExtent l="0" t="0" r="8255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63135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3879A">
      <w:pPr>
        <w:pStyle w:val="2"/>
      </w:pPr>
      <w:r>
        <w:drawing>
          <wp:inline distT="0" distB="0" distL="114300" distR="114300">
            <wp:extent cx="5267960" cy="7451090"/>
            <wp:effectExtent l="0" t="0" r="15240" b="11430"/>
            <wp:docPr id="3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3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3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3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3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3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3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3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3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4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4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4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49185"/>
            <wp:effectExtent l="0" t="0" r="15240" b="13335"/>
            <wp:docPr id="4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7242A"/>
    <w:p w14:paraId="6E398127"/>
    <w:p w14:paraId="42E16D4D"/>
    <w:p w14:paraId="74856082"/>
    <w:p w14:paraId="58474E1A"/>
    <w:p w14:paraId="0F62FE9C">
      <w:pPr>
        <w:rPr>
          <w:rFonts w:hint="eastAsia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jAwZjE0ZjdiNmZkN2JhN2VjYTU2NTQ3Nzk5Y2IxYmUifQ=="/>
  </w:docVars>
  <w:rsids>
    <w:rsidRoot w:val="004D0B0F"/>
    <w:rsid w:val="001B3E8F"/>
    <w:rsid w:val="004D0B0F"/>
    <w:rsid w:val="00636A84"/>
    <w:rsid w:val="00673578"/>
    <w:rsid w:val="007A781B"/>
    <w:rsid w:val="007F59AC"/>
    <w:rsid w:val="009069B5"/>
    <w:rsid w:val="00A70D90"/>
    <w:rsid w:val="00C80A2F"/>
    <w:rsid w:val="00D62BCC"/>
    <w:rsid w:val="00DF0FC4"/>
    <w:rsid w:val="035534C1"/>
    <w:rsid w:val="46010C57"/>
    <w:rsid w:val="5BFA7695"/>
    <w:rsid w:val="66E31505"/>
    <w:rsid w:val="701A3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3">
    <w:name w:val="Balloon Text"/>
    <w:basedOn w:val="1"/>
    <w:link w:val="11"/>
    <w:autoRedefine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0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9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字符"/>
    <w:basedOn w:val="8"/>
    <w:link w:val="5"/>
    <w:autoRedefine/>
    <w:qFormat/>
    <w:uiPriority w:val="99"/>
    <w:rPr>
      <w:sz w:val="18"/>
      <w:szCs w:val="18"/>
    </w:rPr>
  </w:style>
  <w:style w:type="character" w:customStyle="1" w:styleId="10">
    <w:name w:val="页脚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批注框文本 字符"/>
    <w:basedOn w:val="8"/>
    <w:link w:val="3"/>
    <w:autoRedefine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30</Pages>
  <Words>227</Words>
  <Characters>239</Characters>
  <Lines>3</Lines>
  <Paragraphs>1</Paragraphs>
  <TotalTime>3</TotalTime>
  <ScaleCrop>false</ScaleCrop>
  <LinksUpToDate>false</LinksUpToDate>
  <CharactersWithSpaces>241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2023-12-18T03:11:00Z</dcterms:created>
  <dc:creator>邸慧萍</dc:creator>
  <cp:lastModifiedBy>胖花</cp:lastModifiedBy>
  <dcterms:modified xsi:type="dcterms:W3CDTF">2024-12-17T07:53:14Z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788507C8F5A14E2F87C294423F0B6E1F_12</vt:lpwstr>
  </property>
</Properties>
</file>